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0A" w:rsidRPr="009B1A77" w:rsidRDefault="00DE200A" w:rsidP="00DE200A">
      <w:pPr>
        <w:pStyle w:val="Hlavika"/>
        <w:tabs>
          <w:tab w:val="left" w:pos="1139"/>
          <w:tab w:val="left" w:pos="1553"/>
          <w:tab w:val="center" w:pos="4748"/>
        </w:tabs>
        <w:jc w:val="center"/>
        <w:rPr>
          <w:bCs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F13795D" wp14:editId="1923B842">
            <wp:simplePos x="0" y="0"/>
            <wp:positionH relativeFrom="column">
              <wp:posOffset>-306705</wp:posOffset>
            </wp:positionH>
            <wp:positionV relativeFrom="paragraph">
              <wp:posOffset>-69850</wp:posOffset>
            </wp:positionV>
            <wp:extent cx="643255" cy="674370"/>
            <wp:effectExtent l="0" t="0" r="0" b="0"/>
            <wp:wrapNone/>
            <wp:docPr id="1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A77">
        <w:rPr>
          <w:bCs/>
          <w:sz w:val="32"/>
        </w:rPr>
        <w:t>Spojená škola, Masarykova 24, Prešov</w:t>
      </w:r>
    </w:p>
    <w:p w:rsidR="00DE200A" w:rsidRPr="009B1A77" w:rsidRDefault="00DE200A" w:rsidP="00DE200A">
      <w:pPr>
        <w:pStyle w:val="Hlavika"/>
        <w:jc w:val="center"/>
        <w:rPr>
          <w:bCs/>
        </w:rPr>
      </w:pPr>
      <w:r w:rsidRPr="009B1A77">
        <w:rPr>
          <w:bCs/>
        </w:rPr>
        <w:t>organizačná zložka Obchodná akadémia</w:t>
      </w:r>
      <w:r>
        <w:rPr>
          <w:bCs/>
        </w:rPr>
        <w:t>, Masarykova 24, Prešov</w:t>
      </w:r>
    </w:p>
    <w:p w:rsidR="00DE200A" w:rsidRDefault="00DE200A" w:rsidP="00DE200A">
      <w:pPr>
        <w:pStyle w:val="Hlavika"/>
        <w:jc w:val="center"/>
        <w:rPr>
          <w:bCs/>
        </w:rPr>
      </w:pPr>
      <w:r w:rsidRPr="009B1A77">
        <w:rPr>
          <w:bCs/>
        </w:rPr>
        <w:t xml:space="preserve">organizačná zložka </w:t>
      </w:r>
      <w:r>
        <w:rPr>
          <w:bCs/>
        </w:rPr>
        <w:t>Stredná odborná škola podnikania, Masarykova 24, Prešov</w:t>
      </w:r>
    </w:p>
    <w:p w:rsidR="00DE200A" w:rsidRPr="009B1A77" w:rsidRDefault="00DE200A" w:rsidP="00DE200A">
      <w:pPr>
        <w:pStyle w:val="Hlavika"/>
        <w:pBdr>
          <w:bottom w:val="single" w:sz="4" w:space="1" w:color="auto"/>
        </w:pBdr>
        <w:jc w:val="both"/>
        <w:rPr>
          <w:bCs/>
          <w:sz w:val="8"/>
        </w:rPr>
      </w:pPr>
    </w:p>
    <w:p w:rsidR="00DE200A" w:rsidRPr="009B1A77" w:rsidRDefault="00DE200A" w:rsidP="00DE200A">
      <w:pPr>
        <w:pStyle w:val="Hlavika"/>
        <w:jc w:val="both"/>
        <w:rPr>
          <w:sz w:val="8"/>
        </w:rPr>
      </w:pP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/>
    <w:p w:rsidR="00CA31A4" w:rsidRDefault="00CA31A4" w:rsidP="00CA31A4">
      <w:pPr>
        <w:jc w:val="center"/>
      </w:pPr>
    </w:p>
    <w:p w:rsidR="00CA31A4" w:rsidRDefault="00E86FB1" w:rsidP="00CA31A4">
      <w:pPr>
        <w:pStyle w:val="POD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PREDPIS č.  6/2021</w:t>
      </w:r>
    </w:p>
    <w:p w:rsidR="00CA31A4" w:rsidRDefault="0053165D" w:rsidP="00CA31A4">
      <w:pPr>
        <w:pStyle w:val="Nadpis1"/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w:t>ŠKOLSKÝ PARLAMENT</w:t>
      </w:r>
      <w:r w:rsidR="00CA31A4">
        <w:rPr>
          <w:sz w:val="32"/>
        </w:rPr>
        <w:t xml:space="preserve"> PRI ŠKOLSKOM INTERNÁTE</w:t>
      </w: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/>
    <w:p w:rsidR="00CA31A4" w:rsidRDefault="00CA31A4" w:rsidP="00CA31A4"/>
    <w:p w:rsidR="00CA31A4" w:rsidRDefault="00CA31A4" w:rsidP="00CA31A4"/>
    <w:p w:rsidR="00CA31A4" w:rsidRDefault="00CA31A4" w:rsidP="00CA31A4"/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>
      <w:pPr>
        <w:jc w:val="center"/>
      </w:pPr>
    </w:p>
    <w:p w:rsidR="00CA31A4" w:rsidRDefault="00CA31A4" w:rsidP="00CA31A4">
      <w:pPr>
        <w:pStyle w:val="Style2"/>
        <w:widowControl/>
        <w:autoSpaceDE/>
        <w:autoSpaceDN/>
        <w:adjustRightInd/>
        <w:rPr>
          <w:rFonts w:ascii="Times New Roman" w:hAnsi="Times New Roman"/>
          <w:lang w:eastAsia="cs-CZ"/>
        </w:rPr>
      </w:pPr>
    </w:p>
    <w:p w:rsidR="00CA31A4" w:rsidRDefault="00CA31A4" w:rsidP="00CA31A4">
      <w:pPr>
        <w:jc w:val="center"/>
      </w:pPr>
    </w:p>
    <w:tbl>
      <w:tblPr>
        <w:tblW w:w="93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2700"/>
        <w:gridCol w:w="2880"/>
      </w:tblGrid>
      <w:tr w:rsidR="00CA31A4" w:rsidTr="00805605">
        <w:tc>
          <w:tcPr>
            <w:tcW w:w="9360" w:type="dxa"/>
            <w:gridSpan w:val="3"/>
            <w:tcBorders>
              <w:top w:val="single" w:sz="6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CA31A4" w:rsidRDefault="00CA31A4" w:rsidP="00192A5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Druh predpisu: štatút</w:t>
            </w:r>
          </w:p>
        </w:tc>
      </w:tr>
      <w:tr w:rsidR="00805605" w:rsidTr="00805605">
        <w:tc>
          <w:tcPr>
            <w:tcW w:w="378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05605" w:rsidRDefault="00805605" w:rsidP="0080560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Vypracoval: Mgr.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Ligdayová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Iveta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funkcia: vedúca VMV a ŠI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605" w:rsidRDefault="00805605" w:rsidP="0080560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Podpis: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05605" w:rsidRDefault="00805605" w:rsidP="0080560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Platnosť: 1. 9. 2021</w:t>
            </w:r>
          </w:p>
        </w:tc>
      </w:tr>
      <w:tr w:rsidR="00805605" w:rsidTr="00805605">
        <w:tc>
          <w:tcPr>
            <w:tcW w:w="3780" w:type="dxa"/>
            <w:tcBorders>
              <w:top w:val="single" w:sz="2" w:space="0" w:color="auto"/>
              <w:left w:val="double" w:sz="2" w:space="0" w:color="auto"/>
              <w:bottom w:val="single" w:sz="6" w:space="0" w:color="auto"/>
              <w:right w:val="single" w:sz="2" w:space="0" w:color="auto"/>
            </w:tcBorders>
          </w:tcPr>
          <w:p w:rsidR="00805605" w:rsidRDefault="00805605" w:rsidP="00BC3DF3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Schválil: </w:t>
            </w:r>
            <w:r w:rsidR="00BC3DF3">
              <w:rPr>
                <w:rFonts w:ascii="Times New Roman" w:hAnsi="Times New Roman" w:cs="Times New Roman"/>
                <w:b/>
                <w:bCs/>
                <w:sz w:val="24"/>
              </w:rPr>
              <w:t>PaedDr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Čiernik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Michal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funkcia: </w:t>
            </w:r>
            <w:r w:rsidR="00BC3DF3">
              <w:rPr>
                <w:rFonts w:ascii="Times New Roman" w:hAnsi="Times New Roman" w:cs="Times New Roman"/>
                <w:sz w:val="24"/>
              </w:rPr>
              <w:t>riaditeľ</w:t>
            </w:r>
            <w:r>
              <w:rPr>
                <w:rFonts w:ascii="Times New Roman" w:hAnsi="Times New Roman" w:cs="Times New Roman"/>
                <w:sz w:val="24"/>
              </w:rPr>
              <w:t xml:space="preserve"> školy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05605" w:rsidRDefault="00805605" w:rsidP="0080560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Podpis: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05605" w:rsidRDefault="00805605" w:rsidP="00805605">
            <w:pPr>
              <w:pStyle w:val="TABULK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Účinnosť: 1. 9. 2021</w:t>
            </w:r>
          </w:p>
        </w:tc>
      </w:tr>
    </w:tbl>
    <w:p w:rsidR="00CA31A4" w:rsidRDefault="00CA31A4" w:rsidP="00CA31A4">
      <w:pPr>
        <w:pStyle w:val="Nadpis1"/>
        <w:numPr>
          <w:ilvl w:val="0"/>
          <w:numId w:val="0"/>
        </w:numPr>
        <w:ind w:left="432" w:hanging="432"/>
      </w:pPr>
      <w:r>
        <w:lastRenderedPageBreak/>
        <w:t>1</w:t>
      </w:r>
      <w:r>
        <w:tab/>
        <w:t xml:space="preserve">ÚVODNÉ USTANOVENIE </w:t>
      </w:r>
    </w:p>
    <w:p w:rsidR="00CA31A4" w:rsidRDefault="00CA31A4" w:rsidP="00CA31A4">
      <w:pPr>
        <w:jc w:val="both"/>
      </w:pP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štatút sa vydáva v zmysle Dohovoru o právach dieťaťa s cieľom určiť pravidlá zloženia, pôsobenia a zvolávania </w:t>
      </w:r>
      <w:r w:rsidR="0053165D">
        <w:rPr>
          <w:rFonts w:ascii="Times New Roman" w:hAnsi="Times New Roman"/>
          <w:sz w:val="24"/>
          <w:szCs w:val="24"/>
        </w:rPr>
        <w:t>školský parlament</w:t>
      </w:r>
      <w:r>
        <w:rPr>
          <w:rFonts w:ascii="Times New Roman" w:hAnsi="Times New Roman"/>
          <w:sz w:val="24"/>
          <w:szCs w:val="24"/>
        </w:rPr>
        <w:t xml:space="preserve"> pri školskom internáte.</w:t>
      </w: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pStyle w:val="Nadpis1"/>
        <w:numPr>
          <w:ilvl w:val="0"/>
          <w:numId w:val="0"/>
        </w:numPr>
        <w:tabs>
          <w:tab w:val="left" w:pos="360"/>
        </w:tabs>
      </w:pPr>
      <w:r>
        <w:t>2</w:t>
      </w:r>
      <w:r>
        <w:tab/>
        <w:t xml:space="preserve">CHARAKTERISTIKA </w:t>
      </w:r>
      <w:r w:rsidR="0053165D">
        <w:t>ŚKOLSKÉHO PARLAMENTU</w:t>
      </w:r>
    </w:p>
    <w:p w:rsidR="00CA31A4" w:rsidRDefault="00CA31A4" w:rsidP="00CA3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1A4" w:rsidRDefault="0053165D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kolský parlament </w:t>
      </w:r>
      <w:r w:rsidR="00CA31A4">
        <w:rPr>
          <w:rFonts w:ascii="Times New Roman" w:hAnsi="Times New Roman"/>
          <w:sz w:val="24"/>
          <w:szCs w:val="24"/>
        </w:rPr>
        <w:t xml:space="preserve">pri Školskom internáte </w:t>
      </w:r>
      <w:r w:rsidR="00CA31A4" w:rsidRPr="00805605">
        <w:rPr>
          <w:rFonts w:ascii="Times New Roman" w:hAnsi="Times New Roman"/>
          <w:sz w:val="24"/>
          <w:szCs w:val="24"/>
        </w:rPr>
        <w:t xml:space="preserve">na </w:t>
      </w:r>
      <w:r w:rsidR="00805605" w:rsidRPr="00C51734">
        <w:rPr>
          <w:rFonts w:ascii="Times New Roman" w:hAnsi="Times New Roman"/>
          <w:sz w:val="24"/>
          <w:szCs w:val="24"/>
        </w:rPr>
        <w:t xml:space="preserve">Spojenej škole, Masarykova 24, Prešov </w:t>
      </w:r>
      <w:r w:rsidR="00CA31A4" w:rsidRPr="00805605">
        <w:rPr>
          <w:rFonts w:ascii="Times New Roman" w:hAnsi="Times New Roman"/>
          <w:sz w:val="24"/>
          <w:szCs w:val="24"/>
        </w:rPr>
        <w:t>v </w:t>
      </w:r>
      <w:r w:rsidR="00CA31A4">
        <w:rPr>
          <w:rFonts w:ascii="Times New Roman" w:hAnsi="Times New Roman"/>
          <w:sz w:val="24"/>
          <w:szCs w:val="24"/>
        </w:rPr>
        <w:t xml:space="preserve">Prešove je spolutvorcom života v školskom internáte. V zmysle Dohovoru o právach dieťaťa č. 12 a 13 musí viesť sústavný dialóg s vedením školského internátu. Vzťah </w:t>
      </w:r>
      <w:r>
        <w:rPr>
          <w:rFonts w:ascii="Times New Roman" w:hAnsi="Times New Roman"/>
          <w:sz w:val="24"/>
          <w:szCs w:val="24"/>
        </w:rPr>
        <w:t>školského parlamentu</w:t>
      </w:r>
      <w:r w:rsidR="00CA31A4">
        <w:rPr>
          <w:rFonts w:ascii="Times New Roman" w:hAnsi="Times New Roman"/>
          <w:sz w:val="24"/>
          <w:szCs w:val="24"/>
        </w:rPr>
        <w:t xml:space="preserve"> a vedenia školského internátu je vzťah partnerský. </w:t>
      </w:r>
      <w:r>
        <w:rPr>
          <w:rFonts w:ascii="Times New Roman" w:hAnsi="Times New Roman"/>
          <w:sz w:val="24"/>
          <w:szCs w:val="24"/>
        </w:rPr>
        <w:t xml:space="preserve">Školský parlament </w:t>
      </w:r>
      <w:r w:rsidR="00CA31A4">
        <w:rPr>
          <w:rFonts w:ascii="Times New Roman" w:hAnsi="Times New Roman"/>
          <w:sz w:val="24"/>
          <w:szCs w:val="24"/>
        </w:rPr>
        <w:t>chráni záujmy žiakov a vyjadruje sa k problémom školského internátu.</w:t>
      </w: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Odborným a pedagogickým vedením je poverený koordinátor – vychovávateľ, ktorý zabezpečuje súčinnosť cieľov </w:t>
      </w:r>
      <w:r w:rsidR="0053165D">
        <w:rPr>
          <w:rFonts w:ascii="Times New Roman" w:hAnsi="Times New Roman"/>
          <w:sz w:val="24"/>
          <w:szCs w:val="24"/>
        </w:rPr>
        <w:t>školského parlamentu</w:t>
      </w:r>
      <w:r>
        <w:rPr>
          <w:rFonts w:ascii="Times New Roman" w:hAnsi="Times New Roman"/>
          <w:sz w:val="24"/>
          <w:szCs w:val="24"/>
        </w:rPr>
        <w:t xml:space="preserve"> a školského internátu.</w:t>
      </w: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pStyle w:val="Nadpis1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t>ZLOŽENIE ŽIACKEJ RADY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1A4" w:rsidRDefault="0053165D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Školský parlament </w:t>
      </w:r>
      <w:r w:rsidR="00CA31A4">
        <w:rPr>
          <w:rFonts w:ascii="Times New Roman" w:hAnsi="Times New Roman"/>
          <w:sz w:val="24"/>
          <w:szCs w:val="24"/>
        </w:rPr>
        <w:t>tvoria volení zástupcovia jednotlivých výchovných  skupín (najmenej dvaja), ktorí na prvom zasadnutí zo svojich radov volia predsedu žiackej rady pri školskom internáte. Ostatní sú poverení jednotlivými oblasťami činnosti.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Zloženie </w:t>
      </w:r>
      <w:r w:rsidR="0053165D">
        <w:rPr>
          <w:rFonts w:ascii="Times New Roman" w:hAnsi="Times New Roman"/>
          <w:sz w:val="24"/>
          <w:szCs w:val="24"/>
        </w:rPr>
        <w:t xml:space="preserve">školského parlamentu:  </w:t>
      </w:r>
      <w:r>
        <w:rPr>
          <w:rFonts w:ascii="Times New Roman" w:hAnsi="Times New Roman"/>
          <w:sz w:val="24"/>
          <w:szCs w:val="24"/>
        </w:rPr>
        <w:t>predseda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3165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podpredseda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31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316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člen poverený kultúrnou činnosťou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3165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člen poverený športovou činnosťou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3165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člen stravovacej komisie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3165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členovia          </w:t>
      </w: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pStyle w:val="Nadpis1"/>
        <w:numPr>
          <w:ilvl w:val="0"/>
          <w:numId w:val="0"/>
        </w:numPr>
      </w:pPr>
      <w:r>
        <w:t xml:space="preserve">4     ČINNOSŤ </w:t>
      </w:r>
      <w:r w:rsidR="0053165D">
        <w:t>ŚKOLSKÉHO PARLAMENTU</w:t>
      </w: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53165D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parlament</w:t>
      </w:r>
      <w:r w:rsidR="00CA31A4">
        <w:rPr>
          <w:rFonts w:ascii="Times New Roman" w:hAnsi="Times New Roman"/>
          <w:sz w:val="24"/>
          <w:szCs w:val="24"/>
        </w:rPr>
        <w:t xml:space="preserve"> spracováva celoročný plán zasadnutí a plán práce a predkladá ho na </w:t>
      </w:r>
      <w:proofErr w:type="spellStart"/>
      <w:r w:rsidR="00CA31A4">
        <w:rPr>
          <w:rFonts w:ascii="Times New Roman" w:hAnsi="Times New Roman"/>
          <w:sz w:val="24"/>
          <w:szCs w:val="24"/>
        </w:rPr>
        <w:t>celointernátnom</w:t>
      </w:r>
      <w:proofErr w:type="spellEnd"/>
      <w:r w:rsidR="00CA31A4">
        <w:rPr>
          <w:rFonts w:ascii="Times New Roman" w:hAnsi="Times New Roman"/>
          <w:sz w:val="24"/>
          <w:szCs w:val="24"/>
        </w:rPr>
        <w:t xml:space="preserve"> zasadnutí.</w:t>
      </w: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Celointernátne</w:t>
      </w:r>
      <w:proofErr w:type="spellEnd"/>
      <w:r>
        <w:rPr>
          <w:rFonts w:ascii="Times New Roman" w:hAnsi="Times New Roman"/>
          <w:sz w:val="24"/>
          <w:szCs w:val="24"/>
        </w:rPr>
        <w:t xml:space="preserve"> zasadnutie žiakov sa uskutočňuje na začiatku školského roka (september) a ďalej v priebehu školského roka podľa potreby, najmenej však 2 x ročne.</w:t>
      </w: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celointernátne</w:t>
      </w:r>
      <w:proofErr w:type="spellEnd"/>
      <w:r>
        <w:rPr>
          <w:rFonts w:ascii="Times New Roman" w:hAnsi="Times New Roman"/>
          <w:sz w:val="24"/>
          <w:szCs w:val="24"/>
        </w:rPr>
        <w:t xml:space="preserve"> zasadnutie žiakov zástupcovia </w:t>
      </w:r>
      <w:r w:rsidR="0053165D">
        <w:rPr>
          <w:rFonts w:ascii="Times New Roman" w:hAnsi="Times New Roman"/>
          <w:sz w:val="24"/>
          <w:szCs w:val="24"/>
        </w:rPr>
        <w:t>školského parlamentu</w:t>
      </w:r>
      <w:r>
        <w:rPr>
          <w:rFonts w:ascii="Times New Roman" w:hAnsi="Times New Roman"/>
          <w:sz w:val="24"/>
          <w:szCs w:val="24"/>
        </w:rPr>
        <w:t xml:space="preserve"> si prizývajú riaditeľa školy, vychovávateľov, prípadne ďalších členov vedenia školy (podľa potreby) na riešenie problémov, ktoré je potrebné odstrániť na zabezpečenie lepšieho chodu školského internátu.</w:t>
      </w:r>
    </w:p>
    <w:p w:rsidR="00CA31A4" w:rsidRDefault="0053165D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Školský parlament </w:t>
      </w:r>
      <w:r w:rsidR="00CA31A4">
        <w:rPr>
          <w:rFonts w:ascii="Times New Roman" w:hAnsi="Times New Roman"/>
          <w:sz w:val="24"/>
          <w:szCs w:val="24"/>
        </w:rPr>
        <w:t>sa stretáva  pravidelne najmenej 1 x mesačne. O svojich stretnutiach vedie záznamy, o výsledkoch informuje zástupcu riaditeľa pre ŠI.</w:t>
      </w: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Bývajúcim žiakom </w:t>
      </w:r>
      <w:r w:rsidR="0053165D">
        <w:rPr>
          <w:rFonts w:ascii="Times New Roman" w:hAnsi="Times New Roman"/>
          <w:sz w:val="24"/>
          <w:szCs w:val="24"/>
        </w:rPr>
        <w:t>školský parlament</w:t>
      </w:r>
      <w:r>
        <w:rPr>
          <w:rFonts w:ascii="Times New Roman" w:hAnsi="Times New Roman"/>
          <w:sz w:val="24"/>
          <w:szCs w:val="24"/>
        </w:rPr>
        <w:t xml:space="preserve"> sprostredkúva informácie prostredníctvom nástenných novín a školského rozhlasu.</w:t>
      </w:r>
    </w:p>
    <w:p w:rsidR="00CA31A4" w:rsidRDefault="00CA31A4" w:rsidP="00CA3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jednotlivých zasadnutiach </w:t>
      </w:r>
      <w:r w:rsidR="0053165D">
        <w:rPr>
          <w:rFonts w:ascii="Times New Roman" w:hAnsi="Times New Roman"/>
          <w:sz w:val="24"/>
          <w:szCs w:val="24"/>
        </w:rPr>
        <w:t>školského parlamentu</w:t>
      </w:r>
      <w:r>
        <w:rPr>
          <w:rFonts w:ascii="Times New Roman" w:hAnsi="Times New Roman"/>
          <w:sz w:val="24"/>
          <w:szCs w:val="24"/>
        </w:rPr>
        <w:t xml:space="preserve"> pri školskom internáte sa jej členovia  pravidelne vyjadrujú ku kvalite stravy, k poriadku, čistote a hygiene v školskom internáte,     k  problémom v jednotlivých výchovných skupín (správanie, vystupovanie, vzťahy...).</w:t>
      </w:r>
    </w:p>
    <w:p w:rsidR="00CA31A4" w:rsidRDefault="00CA31A4" w:rsidP="00CA31A4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</w:t>
      </w:r>
      <w:r w:rsidR="0053165D">
        <w:rPr>
          <w:rFonts w:ascii="Times New Roman" w:hAnsi="Times New Roman"/>
          <w:sz w:val="24"/>
          <w:szCs w:val="24"/>
        </w:rPr>
        <w:t>školského parlamentu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zabezpečujú archiváciu </w:t>
      </w:r>
      <w:proofErr w:type="spellStart"/>
      <w:r>
        <w:rPr>
          <w:rFonts w:ascii="Times New Roman" w:hAnsi="Times New Roman"/>
          <w:sz w:val="24"/>
          <w:szCs w:val="24"/>
        </w:rPr>
        <w:t>celointernátnych</w:t>
      </w:r>
      <w:proofErr w:type="spellEnd"/>
      <w:r>
        <w:rPr>
          <w:rFonts w:ascii="Times New Roman" w:hAnsi="Times New Roman"/>
          <w:sz w:val="24"/>
          <w:szCs w:val="24"/>
        </w:rPr>
        <w:t xml:space="preserve"> podujatí (CD, záznamy, prezentácie) a aktualizáciu príspevkov na internetovú stránku školy.</w:t>
      </w:r>
    </w:p>
    <w:p w:rsidR="00CA31A4" w:rsidRDefault="00CA31A4" w:rsidP="00CA31A4">
      <w:pPr>
        <w:pStyle w:val="Nadpis1"/>
        <w:numPr>
          <w:ilvl w:val="0"/>
          <w:numId w:val="0"/>
        </w:numPr>
        <w:rPr>
          <w:rFonts w:eastAsia="Calibri"/>
          <w:b w:val="0"/>
          <w:bCs w:val="0"/>
          <w:kern w:val="0"/>
          <w:szCs w:val="24"/>
        </w:rPr>
      </w:pPr>
    </w:p>
    <w:p w:rsidR="00CA31A4" w:rsidRDefault="00CA31A4" w:rsidP="00CA31A4">
      <w:pPr>
        <w:pStyle w:val="Nadpis1"/>
        <w:numPr>
          <w:ilvl w:val="0"/>
          <w:numId w:val="0"/>
        </w:numPr>
      </w:pPr>
      <w:r>
        <w:rPr>
          <w:rFonts w:eastAsia="Calibri"/>
          <w:kern w:val="0"/>
          <w:szCs w:val="24"/>
        </w:rPr>
        <w:t xml:space="preserve">5     </w:t>
      </w:r>
      <w:r>
        <w:t>ZÁVEREČNÉ USTANOVENIA</w:t>
      </w: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pStyle w:val="Nadpis2"/>
        <w:numPr>
          <w:ilvl w:val="0"/>
          <w:numId w:val="0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5.1  Záväznosť</w:t>
      </w:r>
    </w:p>
    <w:p w:rsidR="00CA31A4" w:rsidRDefault="00CA31A4" w:rsidP="00CA3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a zásady stanovené v tomto štatúte sú záväzné pre žiakov ubytovaných v školskom internáte.</w:t>
      </w:r>
    </w:p>
    <w:p w:rsidR="00CA31A4" w:rsidRDefault="00CA31A4" w:rsidP="00CA31A4">
      <w:pPr>
        <w:pStyle w:val="Nadpis2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Derogulačná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klauzula</w:t>
      </w:r>
    </w:p>
    <w:p w:rsidR="00CA31A4" w:rsidRPr="00484617" w:rsidRDefault="00CA31A4" w:rsidP="00CA31A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Vydaním tohto predpisu sa ruší predpis vydaný dňa </w:t>
      </w:r>
      <w:r w:rsidR="00805605">
        <w:rPr>
          <w:rFonts w:ascii="Times New Roman" w:hAnsi="Times New Roman"/>
          <w:sz w:val="24"/>
          <w:szCs w:val="24"/>
        </w:rPr>
        <w:t>15.11.2009</w:t>
      </w:r>
    </w:p>
    <w:p w:rsidR="00CA31A4" w:rsidRDefault="00CA31A4" w:rsidP="00CA31A4">
      <w:pPr>
        <w:pStyle w:val="Nadpis2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Zodpovednosť za kontrolu</w:t>
      </w:r>
    </w:p>
    <w:p w:rsidR="00CA31A4" w:rsidRDefault="00CA31A4" w:rsidP="00CA3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Kontrolovať dodržiavanie štatútu a úloh s ním určených je povinný koordinátor činnosti </w:t>
      </w:r>
      <w:r w:rsidR="0053165D">
        <w:rPr>
          <w:rFonts w:ascii="Times New Roman" w:hAnsi="Times New Roman"/>
          <w:sz w:val="24"/>
          <w:szCs w:val="24"/>
        </w:rPr>
        <w:t>školského parlamentu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pri školskom internáte</w:t>
      </w:r>
      <w:r>
        <w:t>.</w:t>
      </w:r>
      <w:r>
        <w:rPr>
          <w:rFonts w:ascii="Times New Roman" w:hAnsi="Times New Roman"/>
        </w:rPr>
        <w:t xml:space="preserve"> </w:t>
      </w:r>
    </w:p>
    <w:p w:rsidR="00CA31A4" w:rsidRDefault="00CA31A4" w:rsidP="00CA31A4">
      <w:pPr>
        <w:pStyle w:val="Nadpis2"/>
        <w:numPr>
          <w:ilvl w:val="1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Zodpovednosť za zmeny</w:t>
      </w:r>
    </w:p>
    <w:p w:rsidR="00CA31A4" w:rsidRPr="00805605" w:rsidRDefault="00CA31A4" w:rsidP="00CA3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zmeny v tomto štatúte musia byť uskutočňované podľa pravidiel stanovených v Smernici pre tvorbu interných predpisov. Zmeny v tomto predpise je oprávnený vykonávať </w:t>
      </w:r>
      <w:r w:rsidR="00805605">
        <w:rPr>
          <w:rFonts w:ascii="Times New Roman" w:hAnsi="Times New Roman"/>
          <w:sz w:val="24"/>
          <w:szCs w:val="24"/>
        </w:rPr>
        <w:t>vedúci VMV a ŠI.</w:t>
      </w:r>
    </w:p>
    <w:p w:rsidR="00CA31A4" w:rsidRDefault="00CA31A4" w:rsidP="00CA31A4">
      <w:pPr>
        <w:pStyle w:val="Nadpis2"/>
        <w:numPr>
          <w:ilvl w:val="1"/>
          <w:numId w:val="3"/>
        </w:num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Sankcie</w:t>
      </w:r>
    </w:p>
    <w:p w:rsidR="00CA31A4" w:rsidRDefault="00CA31A4" w:rsidP="00CA3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Nedodržiavanie pokynov uvedených v štatúte sa môže klasifikovať ako porušenie pracovnej disciplíny.</w:t>
      </w:r>
    </w:p>
    <w:p w:rsidR="00CA31A4" w:rsidRDefault="00CA31A4" w:rsidP="00CA31A4">
      <w:pPr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A4" w:rsidRDefault="00CA31A4" w:rsidP="00CA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1E" w:rsidRDefault="00520D1E"/>
    <w:sectPr w:rsidR="0052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AC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210B55"/>
    <w:multiLevelType w:val="multilevel"/>
    <w:tmpl w:val="DBEEC1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F2A4A"/>
    <w:multiLevelType w:val="hybridMultilevel"/>
    <w:tmpl w:val="1DA49336"/>
    <w:lvl w:ilvl="0" w:tplc="42CABBA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4"/>
    <w:rsid w:val="00520D1E"/>
    <w:rsid w:val="0053165D"/>
    <w:rsid w:val="00805605"/>
    <w:rsid w:val="00BC3DF3"/>
    <w:rsid w:val="00CA31A4"/>
    <w:rsid w:val="00DE200A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8D47"/>
  <w15:docId w15:val="{0FA5900A-7BE7-4892-9A9B-7D62F96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1A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Doknad1"/>
    <w:basedOn w:val="Normlny"/>
    <w:next w:val="Normlny"/>
    <w:link w:val="Nadpis1Char"/>
    <w:qFormat/>
    <w:rsid w:val="00CA31A4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Nadpis2">
    <w:name w:val="heading 2"/>
    <w:basedOn w:val="Normlny"/>
    <w:next w:val="Normlny"/>
    <w:link w:val="Nadpis2Char"/>
    <w:qFormat/>
    <w:rsid w:val="00CA31A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A31A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CA31A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A31A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A31A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CA31A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CA31A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CA31A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knad1 Char"/>
    <w:basedOn w:val="Predvolenpsmoodseku"/>
    <w:link w:val="Nadpis1"/>
    <w:rsid w:val="00CA31A4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dpis2Char">
    <w:name w:val="Nadpis 2 Char"/>
    <w:basedOn w:val="Predvolenpsmoodseku"/>
    <w:link w:val="Nadpis2"/>
    <w:rsid w:val="00CA3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CA31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CA31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CA3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CA31A4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CA31A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A31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A31A4"/>
    <w:rPr>
      <w:rFonts w:ascii="Cambria" w:eastAsia="Times New Roman" w:hAnsi="Cambria" w:cs="Times New Roman"/>
    </w:rPr>
  </w:style>
  <w:style w:type="paragraph" w:customStyle="1" w:styleId="PODNADPIS1">
    <w:name w:val="PODNADPIS 1."/>
    <w:basedOn w:val="Nadpis2"/>
    <w:rsid w:val="00CA31A4"/>
    <w:pPr>
      <w:numPr>
        <w:ilvl w:val="0"/>
        <w:numId w:val="0"/>
      </w:numPr>
      <w:tabs>
        <w:tab w:val="left" w:pos="567"/>
        <w:tab w:val="left" w:pos="1134"/>
      </w:tabs>
      <w:spacing w:before="200" w:after="40" w:line="240" w:lineRule="auto"/>
    </w:pPr>
    <w:rPr>
      <w:rFonts w:ascii="Arial" w:hAnsi="Arial" w:cs="Arial"/>
      <w:i w:val="0"/>
      <w:iCs w:val="0"/>
      <w:sz w:val="24"/>
      <w:szCs w:val="24"/>
      <w:lang w:eastAsia="sk-SK"/>
    </w:rPr>
  </w:style>
  <w:style w:type="paragraph" w:customStyle="1" w:styleId="TABULKA">
    <w:name w:val="TABULKA"/>
    <w:basedOn w:val="Normlny"/>
    <w:rsid w:val="00CA31A4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Style2">
    <w:name w:val="Style2"/>
    <w:basedOn w:val="Normlny"/>
    <w:rsid w:val="00CA3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05605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b/>
      <w:bCs/>
      <w:color w:val="000000"/>
      <w:sz w:val="16"/>
      <w:lang w:eastAsia="cs-CZ"/>
    </w:rPr>
  </w:style>
  <w:style w:type="character" w:customStyle="1" w:styleId="NzovChar">
    <w:name w:val="Názov Char"/>
    <w:basedOn w:val="Predvolenpsmoodseku"/>
    <w:link w:val="Nzov"/>
    <w:rsid w:val="00805605"/>
    <w:rPr>
      <w:rFonts w:ascii="Verdana" w:eastAsia="Times New Roman" w:hAnsi="Verdana" w:cs="Times New Roman"/>
      <w:b/>
      <w:bCs/>
      <w:color w:val="000000"/>
      <w:sz w:val="16"/>
      <w:lang w:eastAsia="cs-CZ"/>
    </w:rPr>
  </w:style>
  <w:style w:type="paragraph" w:styleId="Hlavika">
    <w:name w:val="header"/>
    <w:basedOn w:val="Normlny"/>
    <w:link w:val="HlavikaChar"/>
    <w:rsid w:val="00DE20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DE2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F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cp:lastPrinted>2021-11-24T17:37:00Z</cp:lastPrinted>
  <dcterms:created xsi:type="dcterms:W3CDTF">2021-05-19T22:09:00Z</dcterms:created>
  <dcterms:modified xsi:type="dcterms:W3CDTF">2022-08-15T10:21:00Z</dcterms:modified>
</cp:coreProperties>
</file>