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56594D">
        <w:rPr>
          <w:rFonts w:ascii="Times New Roman" w:hAnsi="Times New Roman"/>
          <w:i w:val="0"/>
          <w:sz w:val="32"/>
          <w:szCs w:val="32"/>
        </w:rPr>
        <w:t>34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E72267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DF78EC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443AE5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43AE5">
        <w:rPr>
          <w:sz w:val="24"/>
          <w:szCs w:val="24"/>
        </w:rPr>
        <w:t>JUPIE FŠMH spol. s r. o.</w:t>
      </w:r>
    </w:p>
    <w:p w:rsidR="00A605F3" w:rsidRPr="00443AE5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443AE5">
        <w:rPr>
          <w:sz w:val="24"/>
          <w:szCs w:val="24"/>
        </w:rPr>
        <w:t>Sládkovičova 27/A, 974 01 Banská Bystrica</w:t>
      </w:r>
    </w:p>
    <w:p w:rsidR="009D1666" w:rsidRPr="00443AE5" w:rsidRDefault="00443AE5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IBAN:                                    </w:t>
      </w:r>
      <w:r>
        <w:rPr>
          <w:sz w:val="24"/>
          <w:szCs w:val="24"/>
        </w:rPr>
        <w:t>SK50 1100 0000 0029 2389 9025</w:t>
      </w:r>
    </w:p>
    <w:p w:rsidR="00A605F3" w:rsidRPr="00443AE5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03176E">
        <w:rPr>
          <w:b/>
          <w:sz w:val="24"/>
          <w:szCs w:val="24"/>
        </w:rPr>
        <w:t xml:space="preserve">            </w:t>
      </w:r>
      <w:r w:rsidR="00443AE5">
        <w:rPr>
          <w:sz w:val="24"/>
          <w:szCs w:val="24"/>
        </w:rPr>
        <w:t xml:space="preserve">Alexander </w:t>
      </w:r>
      <w:proofErr w:type="spellStart"/>
      <w:r w:rsidR="00443AE5">
        <w:rPr>
          <w:sz w:val="24"/>
          <w:szCs w:val="24"/>
        </w:rPr>
        <w:t>Rumanovský</w:t>
      </w:r>
      <w:proofErr w:type="spellEnd"/>
      <w:r w:rsidR="00443AE5">
        <w:rPr>
          <w:sz w:val="24"/>
          <w:szCs w:val="24"/>
        </w:rPr>
        <w:t>, konateľ</w:t>
      </w:r>
    </w:p>
    <w:p w:rsidR="00B55356" w:rsidRPr="00443AE5" w:rsidRDefault="00443AE5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BIC: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TATRSKBX</w:t>
      </w:r>
    </w:p>
    <w:p w:rsidR="006746FA" w:rsidRDefault="00443AE5" w:rsidP="00753E4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Bankové spojenie:                 </w:t>
      </w:r>
      <w:proofErr w:type="spellStart"/>
      <w:r>
        <w:rPr>
          <w:bCs/>
          <w:sz w:val="24"/>
          <w:szCs w:val="24"/>
        </w:rPr>
        <w:t>Tatrabanka</w:t>
      </w:r>
      <w:proofErr w:type="spellEnd"/>
      <w:r>
        <w:rPr>
          <w:bCs/>
          <w:sz w:val="24"/>
          <w:szCs w:val="24"/>
        </w:rPr>
        <w:t xml:space="preserve"> a. s.,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30B5">
        <w:rPr>
          <w:b/>
          <w:sz w:val="24"/>
          <w:szCs w:val="24"/>
        </w:rPr>
        <w:t>0905 291 561, rumanovsky</w:t>
      </w:r>
      <w:r w:rsidR="00443AE5">
        <w:rPr>
          <w:b/>
          <w:sz w:val="24"/>
          <w:szCs w:val="24"/>
        </w:rPr>
        <w:t>bb@gmail.com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>sa uzatvára na dobu určitú od 1.11</w:t>
      </w:r>
      <w:r w:rsidR="00E72267">
        <w:rPr>
          <w:sz w:val="24"/>
          <w:szCs w:val="24"/>
        </w:rPr>
        <w:t>. 2014 do 23</w:t>
      </w:r>
      <w:r w:rsidR="001930AB">
        <w:rPr>
          <w:sz w:val="24"/>
          <w:szCs w:val="24"/>
        </w:rPr>
        <w:t>. 12</w:t>
      </w:r>
      <w:r w:rsidR="00E72267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7C24E8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piatok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443AE5">
        <w:rPr>
          <w:b/>
          <w:sz w:val="24"/>
          <w:szCs w:val="24"/>
        </w:rPr>
        <w:t xml:space="preserve">17.00- 19.00 </w:t>
      </w:r>
      <w:r w:rsidR="00314E48" w:rsidRPr="00753E44">
        <w:rPr>
          <w:b/>
          <w:sz w:val="24"/>
          <w:szCs w:val="24"/>
        </w:rPr>
        <w:t>hod.</w:t>
      </w:r>
      <w:r w:rsidR="00314E48" w:rsidRPr="00314E48">
        <w:rPr>
          <w:sz w:val="24"/>
          <w:szCs w:val="24"/>
        </w:rPr>
        <w:t xml:space="preserve"> (</w:t>
      </w:r>
      <w:r w:rsidR="00443AE5">
        <w:rPr>
          <w:sz w:val="24"/>
          <w:szCs w:val="24"/>
        </w:rPr>
        <w:t xml:space="preserve"> 7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E72267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72267">
        <w:rPr>
          <w:sz w:val="24"/>
          <w:szCs w:val="24"/>
        </w:rPr>
        <w:t>014</w:t>
      </w:r>
      <w:r w:rsidR="00314E48" w:rsidRPr="00314E48">
        <w:rPr>
          <w:sz w:val="24"/>
          <w:szCs w:val="24"/>
        </w:rPr>
        <w:t xml:space="preserve"> </w:t>
      </w:r>
      <w:r w:rsidR="007C24E8">
        <w:rPr>
          <w:sz w:val="24"/>
          <w:szCs w:val="24"/>
        </w:rPr>
        <w:t>bez</w:t>
      </w:r>
      <w:r w:rsidR="00B55356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>sprchovania</w:t>
      </w:r>
      <w:r w:rsidR="00443AE5">
        <w:rPr>
          <w:sz w:val="24"/>
          <w:szCs w:val="24"/>
        </w:rPr>
        <w:tab/>
      </w:r>
      <w:r w:rsidR="00443AE5">
        <w:rPr>
          <w:sz w:val="24"/>
          <w:szCs w:val="24"/>
        </w:rPr>
        <w:tab/>
        <w:t>2</w:t>
      </w:r>
      <w:r w:rsidR="00F7445C">
        <w:rPr>
          <w:sz w:val="24"/>
          <w:szCs w:val="24"/>
        </w:rPr>
        <w:t>3</w:t>
      </w:r>
      <w:r w:rsidR="00443AE5">
        <w:rPr>
          <w:sz w:val="24"/>
          <w:szCs w:val="24"/>
        </w:rPr>
        <w:t xml:space="preserve"> €/2</w:t>
      </w:r>
      <w:r w:rsidR="001739F9" w:rsidRPr="00314E48">
        <w:rPr>
          <w:sz w:val="24"/>
          <w:szCs w:val="24"/>
        </w:rPr>
        <w:t xml:space="preserve"> hod.</w:t>
      </w:r>
    </w:p>
    <w:p w:rsidR="001739F9" w:rsidRPr="00314E48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443AE5">
        <w:rPr>
          <w:sz w:val="24"/>
          <w:szCs w:val="24"/>
        </w:rPr>
        <w:t xml:space="preserve">vykurovacom období </w:t>
      </w:r>
      <w:r w:rsidR="00443AE5"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>x 2</w:t>
      </w:r>
      <w:r w:rsidR="00F7445C">
        <w:rPr>
          <w:sz w:val="24"/>
          <w:szCs w:val="24"/>
        </w:rPr>
        <w:t>3</w:t>
      </w:r>
      <w:r>
        <w:rPr>
          <w:sz w:val="24"/>
          <w:szCs w:val="24"/>
        </w:rPr>
        <w:t xml:space="preserve"> € =</w:t>
      </w:r>
      <w:r w:rsidR="00443AE5">
        <w:rPr>
          <w:sz w:val="24"/>
          <w:szCs w:val="24"/>
        </w:rPr>
        <w:t xml:space="preserve">   16</w:t>
      </w:r>
      <w:r w:rsidR="00F7445C">
        <w:rPr>
          <w:sz w:val="24"/>
          <w:szCs w:val="24"/>
        </w:rPr>
        <w:t>1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1930AB">
        <w:rPr>
          <w:sz w:val="24"/>
          <w:szCs w:val="24"/>
          <w:u w:val="single"/>
        </w:rPr>
        <w:t xml:space="preserve">   </w:t>
      </w:r>
      <w:r w:rsidR="007C24E8">
        <w:rPr>
          <w:sz w:val="24"/>
          <w:szCs w:val="24"/>
          <w:u w:val="single"/>
        </w:rPr>
        <w:t>0</w:t>
      </w:r>
      <w:r w:rsidR="00CA0939">
        <w:rPr>
          <w:sz w:val="24"/>
          <w:szCs w:val="24"/>
          <w:u w:val="single"/>
        </w:rPr>
        <w:t xml:space="preserve"> </w:t>
      </w:r>
      <w:r w:rsidR="00443AE5">
        <w:rPr>
          <w:sz w:val="24"/>
          <w:szCs w:val="24"/>
          <w:u w:val="single"/>
        </w:rPr>
        <w:t>x 20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7C24E8">
        <w:rPr>
          <w:sz w:val="24"/>
          <w:szCs w:val="24"/>
          <w:u w:val="single"/>
        </w:rPr>
        <w:t xml:space="preserve">     0 </w:t>
      </w:r>
      <w:r w:rsidR="00E72267">
        <w:rPr>
          <w:sz w:val="24"/>
          <w:szCs w:val="24"/>
          <w:u w:val="single"/>
        </w:rPr>
        <w:t xml:space="preserve">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1930AB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443AE5">
        <w:rPr>
          <w:b/>
          <w:sz w:val="24"/>
          <w:szCs w:val="24"/>
        </w:rPr>
        <w:t xml:space="preserve">               7 </w:t>
      </w:r>
      <w:r w:rsidR="00D74F29" w:rsidRPr="00D74F29">
        <w:rPr>
          <w:b/>
          <w:sz w:val="24"/>
          <w:szCs w:val="24"/>
        </w:rPr>
        <w:t xml:space="preserve">dní        </w:t>
      </w:r>
      <w:r w:rsidR="004D7457">
        <w:rPr>
          <w:b/>
          <w:sz w:val="24"/>
          <w:szCs w:val="24"/>
        </w:rPr>
        <w:t xml:space="preserve">  </w:t>
      </w:r>
      <w:r w:rsidR="00443AE5">
        <w:rPr>
          <w:b/>
          <w:sz w:val="24"/>
          <w:szCs w:val="24"/>
        </w:rPr>
        <w:t xml:space="preserve"> 16</w:t>
      </w:r>
      <w:r w:rsidR="00F7445C">
        <w:rPr>
          <w:b/>
          <w:sz w:val="24"/>
          <w:szCs w:val="24"/>
        </w:rPr>
        <w:t>1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443AE5">
        <w:rPr>
          <w:sz w:val="24"/>
          <w:szCs w:val="24"/>
        </w:rPr>
        <w:t>16</w:t>
      </w:r>
      <w:r w:rsidR="00F7445C">
        <w:rPr>
          <w:sz w:val="24"/>
          <w:szCs w:val="24"/>
        </w:rPr>
        <w:t>1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F7445C">
        <w:rPr>
          <w:sz w:val="24"/>
          <w:szCs w:val="24"/>
        </w:rPr>
        <w:t xml:space="preserve"> 2 €/2 hod., vodné a stočné 1€/2 hod., elektrina 2€/2 </w:t>
      </w:r>
      <w:r w:rsidR="008D2431" w:rsidRPr="00314E48">
        <w:rPr>
          <w:sz w:val="24"/>
          <w:szCs w:val="24"/>
        </w:rPr>
        <w:t>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E72267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E72267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E72267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7065DD">
        <w:rPr>
          <w:b/>
          <w:sz w:val="24"/>
          <w:szCs w:val="24"/>
        </w:rPr>
        <w:t>34</w:t>
      </w:r>
      <w:r w:rsidR="009D1666" w:rsidRPr="009D1666">
        <w:rPr>
          <w:b/>
          <w:sz w:val="24"/>
          <w:szCs w:val="24"/>
        </w:rPr>
        <w:t>/201</w:t>
      </w:r>
      <w:r w:rsidR="00E72267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BB" w:rsidRDefault="00BE65BB" w:rsidP="00975452">
      <w:r>
        <w:separator/>
      </w:r>
    </w:p>
  </w:endnote>
  <w:endnote w:type="continuationSeparator" w:id="0">
    <w:p w:rsidR="00BE65BB" w:rsidRDefault="00BE65BB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DF78EC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9C30B5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BB" w:rsidRDefault="00BE65BB" w:rsidP="00975452">
      <w:r>
        <w:separator/>
      </w:r>
    </w:p>
  </w:footnote>
  <w:footnote w:type="continuationSeparator" w:id="0">
    <w:p w:rsidR="00BE65BB" w:rsidRDefault="00BE65BB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176E"/>
    <w:rsid w:val="0003710A"/>
    <w:rsid w:val="0004453A"/>
    <w:rsid w:val="00087D1E"/>
    <w:rsid w:val="00101C52"/>
    <w:rsid w:val="001062CA"/>
    <w:rsid w:val="00111748"/>
    <w:rsid w:val="00161201"/>
    <w:rsid w:val="00171562"/>
    <w:rsid w:val="001739F9"/>
    <w:rsid w:val="001930AB"/>
    <w:rsid w:val="00230936"/>
    <w:rsid w:val="00234B4B"/>
    <w:rsid w:val="00297F3C"/>
    <w:rsid w:val="002A7723"/>
    <w:rsid w:val="00303E40"/>
    <w:rsid w:val="00314E48"/>
    <w:rsid w:val="003470D7"/>
    <w:rsid w:val="003A5888"/>
    <w:rsid w:val="003B5EA0"/>
    <w:rsid w:val="003C4A14"/>
    <w:rsid w:val="00443AE5"/>
    <w:rsid w:val="00446D36"/>
    <w:rsid w:val="004A78E3"/>
    <w:rsid w:val="004C5669"/>
    <w:rsid w:val="004D7457"/>
    <w:rsid w:val="004E4D7E"/>
    <w:rsid w:val="00560BF8"/>
    <w:rsid w:val="0056594D"/>
    <w:rsid w:val="005B564D"/>
    <w:rsid w:val="006746FA"/>
    <w:rsid w:val="006824D5"/>
    <w:rsid w:val="00691FF7"/>
    <w:rsid w:val="006B204B"/>
    <w:rsid w:val="006B6072"/>
    <w:rsid w:val="006E6B57"/>
    <w:rsid w:val="006F0B2E"/>
    <w:rsid w:val="007065DD"/>
    <w:rsid w:val="00753E44"/>
    <w:rsid w:val="007C24E8"/>
    <w:rsid w:val="007D0F95"/>
    <w:rsid w:val="007D65B3"/>
    <w:rsid w:val="00803645"/>
    <w:rsid w:val="00816976"/>
    <w:rsid w:val="008213A3"/>
    <w:rsid w:val="0085510D"/>
    <w:rsid w:val="0085736B"/>
    <w:rsid w:val="008A2E2D"/>
    <w:rsid w:val="008D2431"/>
    <w:rsid w:val="008D5433"/>
    <w:rsid w:val="008F57A5"/>
    <w:rsid w:val="00900FE9"/>
    <w:rsid w:val="00975452"/>
    <w:rsid w:val="009B3511"/>
    <w:rsid w:val="009C2046"/>
    <w:rsid w:val="009C30B5"/>
    <w:rsid w:val="009D1666"/>
    <w:rsid w:val="00A605F3"/>
    <w:rsid w:val="00B550FE"/>
    <w:rsid w:val="00B55356"/>
    <w:rsid w:val="00B96B78"/>
    <w:rsid w:val="00BA571D"/>
    <w:rsid w:val="00BA7057"/>
    <w:rsid w:val="00BB1D43"/>
    <w:rsid w:val="00BE4494"/>
    <w:rsid w:val="00BE65BB"/>
    <w:rsid w:val="00BF5198"/>
    <w:rsid w:val="00C06905"/>
    <w:rsid w:val="00CA0939"/>
    <w:rsid w:val="00CB4B3E"/>
    <w:rsid w:val="00D529F0"/>
    <w:rsid w:val="00D74F29"/>
    <w:rsid w:val="00DD3A98"/>
    <w:rsid w:val="00DE7215"/>
    <w:rsid w:val="00DF78EC"/>
    <w:rsid w:val="00E0000A"/>
    <w:rsid w:val="00E11C7F"/>
    <w:rsid w:val="00E27ABD"/>
    <w:rsid w:val="00E72267"/>
    <w:rsid w:val="00EA1250"/>
    <w:rsid w:val="00EA315C"/>
    <w:rsid w:val="00EE5BB3"/>
    <w:rsid w:val="00F7445C"/>
    <w:rsid w:val="00FC218A"/>
    <w:rsid w:val="00FC6322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93D7-4194-4533-9583-BFE20E1D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8</cp:revision>
  <cp:lastPrinted>2013-10-08T08:54:00Z</cp:lastPrinted>
  <dcterms:created xsi:type="dcterms:W3CDTF">2014-09-12T12:16:00Z</dcterms:created>
  <dcterms:modified xsi:type="dcterms:W3CDTF">2014-10-01T09:17:00Z</dcterms:modified>
</cp:coreProperties>
</file>